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E3F" w:rsidRPr="000C65EE" w:rsidRDefault="00B52E3F" w:rsidP="00B52E3F">
      <w:pPr>
        <w:spacing w:line="360" w:lineRule="auto"/>
        <w:jc w:val="both"/>
        <w:rPr>
          <w:color w:val="000000"/>
          <w:sz w:val="28"/>
          <w:szCs w:val="28"/>
        </w:rPr>
      </w:pPr>
      <w:r w:rsidRPr="000C65EE">
        <w:rPr>
          <w:noProof/>
          <w:color w:val="000000"/>
          <w:sz w:val="28"/>
          <w:szCs w:val="28"/>
          <w:lang w:val="en-PH" w:eastAsia="en-PH"/>
        </w:rPr>
        <w:drawing>
          <wp:inline distT="0" distB="0" distL="0" distR="0">
            <wp:extent cx="5486400" cy="1809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E3F" w:rsidRPr="000C65EE" w:rsidRDefault="00B52E3F" w:rsidP="00B52E3F">
      <w:pPr>
        <w:spacing w:line="360" w:lineRule="auto"/>
        <w:jc w:val="both"/>
        <w:rPr>
          <w:color w:val="000000"/>
          <w:sz w:val="28"/>
          <w:szCs w:val="28"/>
        </w:rPr>
      </w:pPr>
      <w:r w:rsidRPr="000C65EE">
        <w:rPr>
          <w:b/>
          <w:color w:val="000000"/>
          <w:sz w:val="28"/>
          <w:szCs w:val="28"/>
        </w:rPr>
        <w:t>Supplementary Fig. 1</w:t>
      </w:r>
      <w:r w:rsidRPr="000C65EE">
        <w:rPr>
          <w:color w:val="000000"/>
          <w:sz w:val="28"/>
          <w:szCs w:val="28"/>
        </w:rPr>
        <w:t xml:space="preserve"> </w:t>
      </w:r>
      <w:r w:rsidRPr="000C65EE">
        <w:rPr>
          <w:b/>
          <w:color w:val="000000"/>
          <w:sz w:val="28"/>
          <w:szCs w:val="28"/>
        </w:rPr>
        <w:t>Folic acid binds SIRT6</w:t>
      </w:r>
      <w:r w:rsidRPr="000C65EE">
        <w:rPr>
          <w:rFonts w:hint="eastAsia"/>
          <w:b/>
          <w:color w:val="000000"/>
          <w:sz w:val="28"/>
          <w:szCs w:val="28"/>
        </w:rPr>
        <w:t xml:space="preserve">. </w:t>
      </w:r>
      <w:r w:rsidRPr="000C65EE">
        <w:rPr>
          <w:color w:val="000000"/>
          <w:sz w:val="28"/>
          <w:szCs w:val="28"/>
        </w:rPr>
        <w:t>(A) Cellular thermal shift assay (CETSA) presented the thermal stability of folic acid and SIRT6. (B) CETSA curve and the thermal stability to reach 50% of temperature (Tm50) value.</w:t>
      </w:r>
    </w:p>
    <w:p w:rsidR="00B52E3F" w:rsidRPr="000C65EE" w:rsidRDefault="00B52E3F" w:rsidP="00B52E3F">
      <w:pPr>
        <w:spacing w:line="360" w:lineRule="auto"/>
        <w:jc w:val="both"/>
        <w:rPr>
          <w:color w:val="000000"/>
          <w:sz w:val="28"/>
          <w:szCs w:val="28"/>
        </w:rPr>
      </w:pPr>
      <w:r w:rsidRPr="000C65EE">
        <w:rPr>
          <w:noProof/>
          <w:color w:val="000000"/>
          <w:sz w:val="28"/>
          <w:szCs w:val="28"/>
          <w:lang w:val="en-PH" w:eastAsia="en-PH"/>
        </w:rPr>
        <w:drawing>
          <wp:inline distT="0" distB="0" distL="0" distR="0">
            <wp:extent cx="4464050" cy="1123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E3F" w:rsidRPr="000C65EE" w:rsidRDefault="00B52E3F" w:rsidP="00B52E3F">
      <w:pPr>
        <w:spacing w:line="360" w:lineRule="auto"/>
        <w:jc w:val="both"/>
        <w:rPr>
          <w:color w:val="000000"/>
          <w:sz w:val="28"/>
          <w:szCs w:val="28"/>
        </w:rPr>
      </w:pPr>
      <w:r w:rsidRPr="000C65EE">
        <w:rPr>
          <w:b/>
          <w:color w:val="000000"/>
          <w:sz w:val="28"/>
          <w:szCs w:val="28"/>
        </w:rPr>
        <w:t xml:space="preserve">Supplementary Fig. 2 SIRT6 knockdown suppressed the protective effect of folic acid in HGF-induced </w:t>
      </w:r>
      <w:proofErr w:type="spellStart"/>
      <w:r w:rsidRPr="000C65EE">
        <w:rPr>
          <w:b/>
          <w:color w:val="000000"/>
          <w:sz w:val="28"/>
          <w:szCs w:val="28"/>
        </w:rPr>
        <w:t>ferroptosis</w:t>
      </w:r>
      <w:proofErr w:type="spellEnd"/>
      <w:r w:rsidRPr="000C65EE">
        <w:rPr>
          <w:b/>
          <w:color w:val="000000"/>
          <w:sz w:val="28"/>
          <w:szCs w:val="28"/>
        </w:rPr>
        <w:t xml:space="preserve">. </w:t>
      </w:r>
      <w:r w:rsidRPr="000C65EE">
        <w:rPr>
          <w:color w:val="000000"/>
          <w:sz w:val="28"/>
          <w:szCs w:val="28"/>
        </w:rPr>
        <w:t>(A) The knockdown efficiency of SIRT6 was verified by Western blot analysis. (B) The expression of SLC7A11</w:t>
      </w:r>
      <w:r w:rsidRPr="000C65EE">
        <w:rPr>
          <w:rFonts w:hint="eastAsia"/>
          <w:color w:val="000000"/>
          <w:sz w:val="28"/>
          <w:szCs w:val="28"/>
        </w:rPr>
        <w:t xml:space="preserve">and </w:t>
      </w:r>
      <w:r w:rsidRPr="000C65EE">
        <w:rPr>
          <w:color w:val="000000"/>
          <w:sz w:val="28"/>
          <w:szCs w:val="28"/>
        </w:rPr>
        <w:t>GPX4 in HUVECs treated with NGF, HGF, HGF+FA and HGF+FA+shSIRT6.</w:t>
      </w:r>
    </w:p>
    <w:p w:rsidR="00840F67" w:rsidRDefault="00840F67">
      <w:bookmarkStart w:id="0" w:name="_GoBack"/>
      <w:bookmarkEnd w:id="0"/>
    </w:p>
    <w:sectPr w:rsidR="00840F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E3F"/>
    <w:rsid w:val="00840F67"/>
    <w:rsid w:val="00AC2156"/>
    <w:rsid w:val="00B5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DEEEA1-AB30-4FA6-962C-A2700A49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E3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Lucillo, Dorina Monique</dc:creator>
  <cp:keywords/>
  <dc:description/>
  <cp:lastModifiedBy>Lucillo, Dorina Monique</cp:lastModifiedBy>
  <cp:revision>1</cp:revision>
  <dcterms:created xsi:type="dcterms:W3CDTF">2026-03-06T03:53:00Z</dcterms:created>
  <dcterms:modified xsi:type="dcterms:W3CDTF">2026-03-06T03:53:00Z</dcterms:modified>
</cp:coreProperties>
</file>